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502C36" w14:textId="77777777" w:rsidR="001E3952" w:rsidRDefault="001E3952" w:rsidP="00955946">
      <w:pPr>
        <w:jc w:val="center"/>
      </w:pPr>
    </w:p>
    <w:p w14:paraId="61BCDD45" w14:textId="6FD05E7D" w:rsidR="001E3952" w:rsidRDefault="001E3952" w:rsidP="00955946">
      <w:pPr>
        <w:jc w:val="center"/>
      </w:pPr>
      <w:r>
        <w:t xml:space="preserve">         </w:t>
      </w:r>
      <w:r>
        <w:rPr>
          <w:noProof/>
        </w:rPr>
        <w:drawing>
          <wp:inline distT="0" distB="0" distL="0" distR="0" wp14:anchorId="4DFCDB9D" wp14:editId="4D73D572">
            <wp:extent cx="3657177" cy="643467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5-09-01 17.23.11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65" t="37840" r="28205" b="2430"/>
                    <a:stretch/>
                  </pic:blipFill>
                  <pic:spPr bwMode="auto">
                    <a:xfrm>
                      <a:off x="0" y="0"/>
                      <a:ext cx="3665728" cy="644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18F1D" w14:textId="77777777" w:rsidR="001E3952" w:rsidRDefault="001E3952" w:rsidP="00955946">
      <w:pPr>
        <w:jc w:val="center"/>
      </w:pPr>
    </w:p>
    <w:p w14:paraId="765C065A" w14:textId="5E4FA2E4" w:rsidR="001E3952" w:rsidRPr="001E3952" w:rsidRDefault="001E3952" w:rsidP="00955946">
      <w:pPr>
        <w:jc w:val="center"/>
        <w:rPr>
          <w:i/>
        </w:rPr>
      </w:pPr>
      <w:r w:rsidRPr="001E3952">
        <w:rPr>
          <w:i/>
        </w:rPr>
        <w:t>Global Biogeochemical</w:t>
      </w:r>
      <w:r w:rsidR="00392F8A">
        <w:rPr>
          <w:i/>
        </w:rPr>
        <w:t xml:space="preserve"> Cycles</w:t>
      </w:r>
    </w:p>
    <w:p w14:paraId="436C9B16" w14:textId="77777777" w:rsidR="001E3952" w:rsidRDefault="001E3952" w:rsidP="00955946">
      <w:pPr>
        <w:jc w:val="center"/>
      </w:pPr>
    </w:p>
    <w:p w14:paraId="721D6B4F" w14:textId="77777777" w:rsidR="00072BE4" w:rsidRDefault="00955946" w:rsidP="00955946">
      <w:pPr>
        <w:jc w:val="center"/>
      </w:pPr>
      <w:r>
        <w:t>Supporting Information for</w:t>
      </w:r>
    </w:p>
    <w:p w14:paraId="6DAAA6B0" w14:textId="77777777" w:rsidR="00955946" w:rsidRDefault="00955946" w:rsidP="00955946">
      <w:pPr>
        <w:jc w:val="center"/>
      </w:pPr>
    </w:p>
    <w:p w14:paraId="46C9AAD8" w14:textId="77777777" w:rsidR="00955946" w:rsidRPr="00955946" w:rsidRDefault="00955946" w:rsidP="00955946">
      <w:pPr>
        <w:pStyle w:val="body-copy-normal"/>
        <w:shd w:val="clear" w:color="auto" w:fill="FFFFFF"/>
        <w:spacing w:before="0" w:beforeAutospacing="0" w:after="300" w:afterAutospacing="0" w:line="480" w:lineRule="auto"/>
        <w:ind w:right="-472"/>
        <w:jc w:val="center"/>
        <w:rPr>
          <w:b/>
        </w:rPr>
      </w:pPr>
      <w:proofErr w:type="gramStart"/>
      <w:r w:rsidRPr="00955946">
        <w:rPr>
          <w:b/>
        </w:rPr>
        <w:t>Seasonal trends of Amazonian rainforest phenology, net primary productivity, and carbon allocation.</w:t>
      </w:r>
      <w:proofErr w:type="gramEnd"/>
    </w:p>
    <w:p w14:paraId="41ABF284" w14:textId="3AC880C8" w:rsidR="00955946" w:rsidRPr="00A36A94" w:rsidRDefault="00955946" w:rsidP="00955946">
      <w:pPr>
        <w:pStyle w:val="body-copy-normal"/>
        <w:shd w:val="clear" w:color="auto" w:fill="FFFFFF"/>
        <w:spacing w:before="0" w:beforeAutospacing="0" w:after="300" w:afterAutospacing="0" w:line="480" w:lineRule="auto"/>
        <w:ind w:right="-772"/>
        <w:rPr>
          <w:lang w:val="es-PE"/>
        </w:rPr>
      </w:pPr>
      <w:r w:rsidRPr="00A36A94">
        <w:t>Cécile A.J. Girardin</w:t>
      </w:r>
      <w:r w:rsidRPr="00A36A94">
        <w:rPr>
          <w:vertAlign w:val="superscript"/>
        </w:rPr>
        <w:t>1</w:t>
      </w:r>
      <w:r w:rsidRPr="00A36A94">
        <w:t xml:space="preserve">, </w:t>
      </w:r>
      <w:proofErr w:type="spellStart"/>
      <w:r w:rsidRPr="00A36A94">
        <w:t>Yadvinder</w:t>
      </w:r>
      <w:proofErr w:type="spellEnd"/>
      <w:r w:rsidRPr="00A36A94">
        <w:t xml:space="preserve"> Malhi</w:t>
      </w:r>
      <w:r w:rsidRPr="00A36A94">
        <w:rPr>
          <w:vertAlign w:val="superscript"/>
        </w:rPr>
        <w:t>1</w:t>
      </w:r>
      <w:r w:rsidRPr="00A36A94">
        <w:t>, Christopher E. Doughty</w:t>
      </w:r>
      <w:r w:rsidRPr="00A36A94">
        <w:rPr>
          <w:vertAlign w:val="superscript"/>
        </w:rPr>
        <w:t>1</w:t>
      </w:r>
      <w:r w:rsidRPr="00A36A94">
        <w:t xml:space="preserve">, Daniel B.  </w:t>
      </w:r>
      <w:r w:rsidRPr="00A36A94">
        <w:rPr>
          <w:lang w:val="es-PE"/>
        </w:rPr>
        <w:t>Metcalfe</w:t>
      </w:r>
      <w:r w:rsidRPr="00A36A94">
        <w:rPr>
          <w:vertAlign w:val="superscript"/>
          <w:lang w:val="es-PE"/>
        </w:rPr>
        <w:t>2</w:t>
      </w:r>
      <w:r w:rsidRPr="00A36A94">
        <w:rPr>
          <w:lang w:val="es-PE"/>
        </w:rPr>
        <w:t>,</w:t>
      </w:r>
      <w:r>
        <w:rPr>
          <w:lang w:val="es-PE"/>
        </w:rPr>
        <w:t xml:space="preserve"> Patrick Meir</w:t>
      </w:r>
      <w:r w:rsidRPr="00CE53A3">
        <w:rPr>
          <w:vertAlign w:val="superscript"/>
          <w:lang w:val="es-PE"/>
        </w:rPr>
        <w:t>3</w:t>
      </w:r>
      <w:r>
        <w:rPr>
          <w:vertAlign w:val="superscript"/>
          <w:lang w:val="es-PE"/>
        </w:rPr>
        <w:t>, 4</w:t>
      </w:r>
      <w:r>
        <w:rPr>
          <w:lang w:val="es-PE"/>
        </w:rPr>
        <w:t>,</w:t>
      </w:r>
      <w:r w:rsidRPr="00A36A94">
        <w:rPr>
          <w:lang w:val="es-PE"/>
        </w:rPr>
        <w:t xml:space="preserve"> Jhon del Aguila-Pasquel</w:t>
      </w:r>
      <w:r>
        <w:rPr>
          <w:vertAlign w:val="superscript"/>
          <w:lang w:val="es-PE"/>
        </w:rPr>
        <w:t>5,6</w:t>
      </w:r>
      <w:r w:rsidRPr="00A36A94">
        <w:rPr>
          <w:lang w:val="es-PE"/>
        </w:rPr>
        <w:t>, Alejandro Araujo-Murakami</w:t>
      </w:r>
      <w:r>
        <w:rPr>
          <w:vertAlign w:val="superscript"/>
          <w:lang w:val="es-PE"/>
        </w:rPr>
        <w:t>7</w:t>
      </w:r>
      <w:r w:rsidRPr="00A36A94">
        <w:rPr>
          <w:lang w:val="es-PE"/>
        </w:rPr>
        <w:t>,  Antonio C.L. da Costa</w:t>
      </w:r>
      <w:r w:rsidR="00CB483D">
        <w:rPr>
          <w:vertAlign w:val="superscript"/>
          <w:lang w:val="es-PE"/>
        </w:rPr>
        <w:t>8</w:t>
      </w:r>
      <w:bookmarkStart w:id="0" w:name="_GoBack"/>
      <w:bookmarkEnd w:id="0"/>
      <w:r w:rsidRPr="00A36A94">
        <w:rPr>
          <w:lang w:val="es-PE"/>
        </w:rPr>
        <w:t>, Javier E. Silva-Espejo</w:t>
      </w:r>
      <w:r w:rsidR="00CB483D">
        <w:rPr>
          <w:vertAlign w:val="superscript"/>
          <w:lang w:val="es-PE"/>
        </w:rPr>
        <w:t>9</w:t>
      </w:r>
      <w:r w:rsidRPr="00A36A94">
        <w:rPr>
          <w:lang w:val="es-PE"/>
        </w:rPr>
        <w:t>, Filio Farfán Amézquita</w:t>
      </w:r>
      <w:r w:rsidR="00CB483D">
        <w:rPr>
          <w:vertAlign w:val="superscript"/>
          <w:lang w:val="es-PE"/>
        </w:rPr>
        <w:t>9</w:t>
      </w:r>
      <w:r>
        <w:rPr>
          <w:lang w:val="es-PE"/>
        </w:rPr>
        <w:t>, Lucy Rowland</w:t>
      </w:r>
      <w:r w:rsidRPr="00DA0D16">
        <w:rPr>
          <w:vertAlign w:val="superscript"/>
          <w:lang w:val="es-PE"/>
        </w:rPr>
        <w:t>3</w:t>
      </w:r>
      <w:r w:rsidRPr="00A36A94">
        <w:rPr>
          <w:lang w:val="es-PE"/>
        </w:rPr>
        <w:t>.</w:t>
      </w:r>
    </w:p>
    <w:p w14:paraId="7C8387D1" w14:textId="3D250797" w:rsidR="00955946" w:rsidRPr="00955946" w:rsidRDefault="00955946" w:rsidP="00955946">
      <w:pPr>
        <w:spacing w:line="480" w:lineRule="auto"/>
        <w:ind w:right="-472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955946">
        <w:rPr>
          <w:rFonts w:ascii="Times New Roman" w:hAnsi="Times New Roman" w:cs="Times New Roman"/>
          <w:sz w:val="20"/>
          <w:szCs w:val="20"/>
          <w:vertAlign w:val="superscript"/>
        </w:rPr>
        <w:t xml:space="preserve">1 </w:t>
      </w:r>
      <w:r w:rsidRPr="00955946">
        <w:rPr>
          <w:rFonts w:ascii="Times New Roman" w:hAnsi="Times New Roman" w:cs="Times New Roman"/>
          <w:sz w:val="20"/>
          <w:szCs w:val="20"/>
        </w:rPr>
        <w:t>Environmental Change Institute, School of Geography and the Environment, University of Oxford, Oxford, UK.</w:t>
      </w:r>
      <w:proofErr w:type="gramEnd"/>
      <w:r w:rsidRPr="00955946">
        <w:rPr>
          <w:rFonts w:ascii="Times New Roman" w:hAnsi="Times New Roman" w:cs="Times New Roman"/>
          <w:sz w:val="20"/>
          <w:szCs w:val="20"/>
        </w:rPr>
        <w:t xml:space="preserve"> </w:t>
      </w:r>
      <w:r w:rsidRPr="00955946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955946">
        <w:rPr>
          <w:rFonts w:ascii="Times New Roman" w:hAnsi="Times New Roman" w:cs="Times New Roman"/>
          <w:sz w:val="20"/>
          <w:szCs w:val="20"/>
        </w:rPr>
        <w:t xml:space="preserve"> Department of Physical Geography and Ecosystem Science, Lund University, Lund, Sweden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955946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955946">
        <w:rPr>
          <w:rFonts w:ascii="ArialNarrowMT" w:hAnsi="ArialNarrowMT" w:cs="ArialNarrowMT"/>
          <w:sz w:val="20"/>
          <w:szCs w:val="20"/>
        </w:rPr>
        <w:t xml:space="preserve"> </w:t>
      </w:r>
      <w:r w:rsidRPr="00955946">
        <w:rPr>
          <w:rFonts w:ascii="Times New Roman" w:hAnsi="Times New Roman" w:cs="Times New Roman"/>
          <w:sz w:val="20"/>
          <w:szCs w:val="20"/>
        </w:rPr>
        <w:t>Edinburgh University, School of Geosciences, Edinburgh, UK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955946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00955946">
        <w:rPr>
          <w:rFonts w:ascii="Times New Roman" w:hAnsi="Times New Roman" w:cs="Times New Roman"/>
          <w:sz w:val="20"/>
          <w:szCs w:val="20"/>
        </w:rPr>
        <w:t xml:space="preserve"> Research School of Biology, Australian National University, Canberra, Australia</w:t>
      </w:r>
      <w:r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Pr="00955946">
        <w:rPr>
          <w:rFonts w:ascii="Times New Roman" w:hAnsi="Times New Roman" w:cs="Times New Roman"/>
          <w:sz w:val="20"/>
          <w:szCs w:val="20"/>
          <w:vertAlign w:val="superscript"/>
          <w:lang w:val="es-PE"/>
        </w:rPr>
        <w:t xml:space="preserve">5 </w:t>
      </w:r>
      <w:r w:rsidRPr="00955946">
        <w:rPr>
          <w:rFonts w:ascii="Times New Roman" w:hAnsi="Times New Roman" w:cs="Times New Roman"/>
          <w:sz w:val="20"/>
          <w:szCs w:val="20"/>
          <w:lang w:val="es-PE"/>
        </w:rPr>
        <w:t>Universidad Nacional de la Amazonia Peruana, Iquitos, Peru</w:t>
      </w:r>
      <w:r>
        <w:rPr>
          <w:rFonts w:ascii="Times New Roman" w:hAnsi="Times New Roman" w:cs="Times New Roman"/>
          <w:sz w:val="20"/>
          <w:szCs w:val="20"/>
          <w:lang w:val="es-PE"/>
        </w:rPr>
        <w:t xml:space="preserve">, </w:t>
      </w:r>
      <w:r w:rsidRPr="00955946">
        <w:rPr>
          <w:rFonts w:ascii="Times New Roman" w:hAnsi="Times New Roman" w:cs="Times New Roman"/>
          <w:sz w:val="20"/>
          <w:szCs w:val="20"/>
          <w:vertAlign w:val="superscript"/>
          <w:lang w:val="es-PE"/>
        </w:rPr>
        <w:t xml:space="preserve">6 </w:t>
      </w:r>
      <w:r w:rsidRPr="00955946">
        <w:rPr>
          <w:rFonts w:ascii="Times New Roman" w:hAnsi="Times New Roman" w:cs="Times New Roman"/>
          <w:sz w:val="20"/>
          <w:szCs w:val="20"/>
          <w:lang w:val="es-PE"/>
        </w:rPr>
        <w:t>Instituto de Investigaciones de la Amazonia Peruana, Iquitos Peru</w:t>
      </w:r>
      <w:r>
        <w:rPr>
          <w:rFonts w:ascii="Times New Roman" w:hAnsi="Times New Roman" w:cs="Times New Roman"/>
          <w:sz w:val="20"/>
          <w:szCs w:val="20"/>
          <w:lang w:val="es-PE"/>
        </w:rPr>
        <w:t xml:space="preserve">, </w:t>
      </w:r>
      <w:r w:rsidRPr="00955946">
        <w:rPr>
          <w:rFonts w:ascii="Times New Roman" w:hAnsi="Times New Roman" w:cs="Times New Roman"/>
          <w:sz w:val="20"/>
          <w:szCs w:val="20"/>
          <w:vertAlign w:val="superscript"/>
          <w:lang w:val="es-PE"/>
        </w:rPr>
        <w:t xml:space="preserve">7 </w:t>
      </w:r>
      <w:r w:rsidRPr="00955946">
        <w:rPr>
          <w:rFonts w:ascii="Times New Roman" w:hAnsi="Times New Roman" w:cs="Times New Roman"/>
          <w:sz w:val="20"/>
          <w:szCs w:val="20"/>
          <w:lang w:val="es-PE"/>
        </w:rPr>
        <w:t>Museo de Historia Natural Noel Kempff Mercado, Universidad Autónoma Gabriel René Moreno, Santa Cruz, Bolivia</w:t>
      </w:r>
      <w:r>
        <w:rPr>
          <w:rFonts w:ascii="Times New Roman" w:hAnsi="Times New Roman" w:cs="Times New Roman"/>
          <w:sz w:val="20"/>
          <w:szCs w:val="20"/>
          <w:lang w:val="es-PE"/>
        </w:rPr>
        <w:t xml:space="preserve">, </w:t>
      </w:r>
      <w:r w:rsidR="00CB483D">
        <w:rPr>
          <w:rFonts w:ascii="Times New Roman" w:hAnsi="Times New Roman" w:cs="Times New Roman"/>
          <w:sz w:val="20"/>
          <w:szCs w:val="20"/>
          <w:vertAlign w:val="superscript"/>
        </w:rPr>
        <w:t>8</w:t>
      </w:r>
      <w:r w:rsidRPr="00955946">
        <w:rPr>
          <w:rFonts w:ascii="Times New Roman" w:hAnsi="Times New Roman" w:cs="Times New Roman"/>
          <w:sz w:val="20"/>
          <w:szCs w:val="20"/>
          <w:vertAlign w:val="superscript"/>
          <w:lang w:val="es-PE"/>
        </w:rPr>
        <w:t xml:space="preserve"> </w:t>
      </w:r>
      <w:r w:rsidRPr="00955946">
        <w:rPr>
          <w:rFonts w:ascii="Times New Roman" w:hAnsi="Times New Roman" w:cs="Times New Roman"/>
          <w:sz w:val="20"/>
          <w:szCs w:val="20"/>
          <w:lang w:val="es-PE"/>
        </w:rPr>
        <w:t>Universidade Federal do Pará, Centro de Geociencias, Belem, Pará, Brazil</w:t>
      </w:r>
      <w:r>
        <w:rPr>
          <w:rFonts w:ascii="Times New Roman" w:hAnsi="Times New Roman" w:cs="Times New Roman"/>
          <w:sz w:val="20"/>
          <w:szCs w:val="20"/>
          <w:lang w:val="es-PE"/>
        </w:rPr>
        <w:t xml:space="preserve">, </w:t>
      </w:r>
      <w:r w:rsidR="00CB483D">
        <w:rPr>
          <w:rFonts w:ascii="Times New Roman" w:hAnsi="Times New Roman" w:cs="Times New Roman"/>
          <w:sz w:val="20"/>
          <w:szCs w:val="20"/>
          <w:vertAlign w:val="superscript"/>
          <w:lang w:val="es-PE"/>
        </w:rPr>
        <w:t>9</w:t>
      </w:r>
      <w:r w:rsidRPr="00955946">
        <w:rPr>
          <w:rFonts w:ascii="Times New Roman" w:hAnsi="Times New Roman" w:cs="Times New Roman"/>
          <w:sz w:val="20"/>
          <w:szCs w:val="20"/>
          <w:vertAlign w:val="superscript"/>
          <w:lang w:val="es-PE"/>
        </w:rPr>
        <w:t xml:space="preserve"> </w:t>
      </w:r>
      <w:r w:rsidRPr="00955946">
        <w:rPr>
          <w:rFonts w:ascii="Times New Roman" w:hAnsi="Times New Roman" w:cs="Times New Roman"/>
          <w:sz w:val="20"/>
          <w:szCs w:val="20"/>
          <w:lang w:val="es-PE"/>
        </w:rPr>
        <w:t>Universidad Nacional San Antonio Abad del Cusco, Cusco, Peru.</w:t>
      </w:r>
    </w:p>
    <w:p w14:paraId="5CFE6345" w14:textId="77777777" w:rsidR="00955946" w:rsidRDefault="00955946"/>
    <w:p w14:paraId="3028DEBE" w14:textId="77777777" w:rsidR="00392F8A" w:rsidRDefault="00392F8A" w:rsidP="00B46641">
      <w:pPr>
        <w:spacing w:line="480" w:lineRule="auto"/>
        <w:rPr>
          <w:b/>
        </w:rPr>
      </w:pPr>
    </w:p>
    <w:p w14:paraId="2AF5F7AA" w14:textId="77777777" w:rsidR="00392F8A" w:rsidRDefault="00392F8A" w:rsidP="00B46641">
      <w:pPr>
        <w:spacing w:line="480" w:lineRule="auto"/>
        <w:rPr>
          <w:b/>
        </w:rPr>
      </w:pPr>
    </w:p>
    <w:p w14:paraId="392B0A07" w14:textId="77777777" w:rsidR="00392F8A" w:rsidRDefault="00392F8A" w:rsidP="00B46641">
      <w:pPr>
        <w:spacing w:line="480" w:lineRule="auto"/>
        <w:rPr>
          <w:b/>
        </w:rPr>
      </w:pPr>
    </w:p>
    <w:p w14:paraId="432C7D25" w14:textId="77777777" w:rsidR="00392F8A" w:rsidRDefault="00392F8A" w:rsidP="00B46641">
      <w:pPr>
        <w:spacing w:line="480" w:lineRule="auto"/>
        <w:rPr>
          <w:b/>
        </w:rPr>
      </w:pPr>
    </w:p>
    <w:p w14:paraId="1CC9BCAD" w14:textId="77777777" w:rsidR="00392F8A" w:rsidRDefault="00392F8A" w:rsidP="00B46641">
      <w:pPr>
        <w:spacing w:line="480" w:lineRule="auto"/>
        <w:rPr>
          <w:b/>
        </w:rPr>
      </w:pPr>
    </w:p>
    <w:p w14:paraId="0257F039" w14:textId="77777777" w:rsidR="00392F8A" w:rsidRDefault="00392F8A" w:rsidP="00B46641">
      <w:pPr>
        <w:spacing w:line="480" w:lineRule="auto"/>
        <w:rPr>
          <w:b/>
        </w:rPr>
      </w:pPr>
    </w:p>
    <w:p w14:paraId="02A7771A" w14:textId="77777777" w:rsidR="00392F8A" w:rsidRDefault="00392F8A" w:rsidP="00B46641">
      <w:pPr>
        <w:spacing w:line="480" w:lineRule="auto"/>
        <w:rPr>
          <w:b/>
        </w:rPr>
      </w:pPr>
    </w:p>
    <w:p w14:paraId="18580D6F" w14:textId="766CEA40" w:rsidR="00B46641" w:rsidRPr="00B46641" w:rsidRDefault="00B46641" w:rsidP="00B46641">
      <w:pPr>
        <w:spacing w:line="480" w:lineRule="auto"/>
        <w:rPr>
          <w:b/>
        </w:rPr>
      </w:pPr>
      <w:r w:rsidRPr="00B46641">
        <w:rPr>
          <w:b/>
        </w:rPr>
        <w:lastRenderedPageBreak/>
        <w:t>Contents of this file</w:t>
      </w:r>
    </w:p>
    <w:p w14:paraId="4B637E7A" w14:textId="6D90E35B" w:rsidR="00B46641" w:rsidRDefault="00B46641" w:rsidP="00B46641">
      <w:pPr>
        <w:spacing w:line="480" w:lineRule="auto"/>
      </w:pPr>
      <w:r w:rsidRPr="00B46641">
        <w:t>Figures S1 to S5</w:t>
      </w:r>
    </w:p>
    <w:p w14:paraId="6A6F12C3" w14:textId="77777777" w:rsidR="00392F8A" w:rsidRPr="00B46641" w:rsidRDefault="00392F8A" w:rsidP="00B46641">
      <w:pPr>
        <w:spacing w:line="480" w:lineRule="auto"/>
      </w:pPr>
    </w:p>
    <w:p w14:paraId="25121345" w14:textId="6E00CC1A" w:rsidR="00B46641" w:rsidRPr="00B46641" w:rsidRDefault="00B46641" w:rsidP="00B46641">
      <w:pPr>
        <w:spacing w:line="480" w:lineRule="auto"/>
        <w:rPr>
          <w:b/>
        </w:rPr>
      </w:pPr>
      <w:r w:rsidRPr="00B46641">
        <w:rPr>
          <w:b/>
        </w:rPr>
        <w:t>Introduction</w:t>
      </w:r>
    </w:p>
    <w:p w14:paraId="024D63F8" w14:textId="402EF245" w:rsidR="00B46641" w:rsidRPr="00B46641" w:rsidRDefault="00B46641" w:rsidP="00B46641">
      <w:pPr>
        <w:spacing w:line="480" w:lineRule="auto"/>
      </w:pPr>
      <w:r w:rsidRPr="00B46641">
        <w:t>This supporting information provides a breakdown of the data presented in Figures 1 to 5 of the paper. Each figure provides data per site (Figure S1) or per plot (S2 to S5).</w:t>
      </w:r>
    </w:p>
    <w:p w14:paraId="4A6BF65A" w14:textId="77777777" w:rsidR="009A25CD" w:rsidRDefault="009A25CD" w:rsidP="00B46641">
      <w:pPr>
        <w:suppressLineNumbers/>
        <w:spacing w:line="480" w:lineRule="auto"/>
        <w:ind w:right="-69"/>
        <w:rPr>
          <w:rFonts w:ascii="Times New Roman" w:hAnsi="Times New Roman" w:cs="Times New Roman"/>
        </w:rPr>
        <w:sectPr w:rsidR="009A25CD" w:rsidSect="00072BE4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3F636431" w14:textId="0FA2FD23" w:rsidR="009A25CD" w:rsidRDefault="00567CF7" w:rsidP="00B46641">
      <w:pPr>
        <w:suppressLineNumbers/>
        <w:spacing w:line="480" w:lineRule="auto"/>
        <w:ind w:right="-69"/>
        <w:rPr>
          <w:rFonts w:ascii="Times New Roman" w:hAnsi="Times New Roman" w:cs="Times New Roman"/>
        </w:rPr>
        <w:sectPr w:rsidR="009A25CD" w:rsidSect="00072BE4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EA7354C" wp14:editId="08D59749">
            <wp:extent cx="5270500" cy="8610526"/>
            <wp:effectExtent l="0" t="0" r="0" b="63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61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D9C63" w14:textId="4545B7E9" w:rsidR="009A25CD" w:rsidRDefault="00B46641" w:rsidP="00581D7C">
      <w:pPr>
        <w:suppressLineNumbers/>
        <w:spacing w:line="480" w:lineRule="auto"/>
        <w:ind w:right="-69"/>
        <w:rPr>
          <w:rFonts w:ascii="Times New Roman" w:hAnsi="Times New Roman" w:cs="Times New Roman"/>
        </w:rPr>
        <w:sectPr w:rsidR="009A25CD" w:rsidSect="00072BE4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 w:rsidRPr="00B46641">
        <w:rPr>
          <w:rFonts w:ascii="Times New Roman" w:hAnsi="Times New Roman" w:cs="Times New Roman"/>
          <w:b/>
        </w:rPr>
        <w:t>Figure S1.</w:t>
      </w:r>
      <w:r w:rsidRPr="00B46641">
        <w:rPr>
          <w:rFonts w:ascii="Times New Roman" w:hAnsi="Times New Roman" w:cs="Times New Roman"/>
        </w:rPr>
        <w:t xml:space="preserve"> </w:t>
      </w:r>
      <w:proofErr w:type="gramStart"/>
      <w:r w:rsidRPr="00B46641">
        <w:rPr>
          <w:rFonts w:ascii="Times New Roman" w:hAnsi="Times New Roman" w:cs="Times New Roman"/>
        </w:rPr>
        <w:t>Seasonality of weather variables in four lowland Amazonian forests sites in Peru, Bolivia and Brazil.</w:t>
      </w:r>
      <w:proofErr w:type="gramEnd"/>
      <w:r w:rsidRPr="00B46641">
        <w:rPr>
          <w:rFonts w:ascii="Times New Roman" w:hAnsi="Times New Roman" w:cs="Times New Roman"/>
        </w:rPr>
        <w:t xml:space="preserve"> Weather stations were located at </w:t>
      </w:r>
      <w:proofErr w:type="spellStart"/>
      <w:r w:rsidRPr="00B46641">
        <w:rPr>
          <w:rFonts w:ascii="Times New Roman" w:hAnsi="Times New Roman" w:cs="Times New Roman"/>
        </w:rPr>
        <w:t>Allpahuayo</w:t>
      </w:r>
      <w:proofErr w:type="spellEnd"/>
      <w:r w:rsidRPr="00B46641">
        <w:rPr>
          <w:rFonts w:ascii="Times New Roman" w:hAnsi="Times New Roman" w:cs="Times New Roman"/>
        </w:rPr>
        <w:t xml:space="preserve"> (ALP-01, black square), </w:t>
      </w:r>
      <w:proofErr w:type="spellStart"/>
      <w:r w:rsidRPr="00B46641">
        <w:rPr>
          <w:rFonts w:ascii="Times New Roman" w:hAnsi="Times New Roman" w:cs="Times New Roman"/>
        </w:rPr>
        <w:t>Caxiuanã</w:t>
      </w:r>
      <w:proofErr w:type="spellEnd"/>
      <w:r w:rsidRPr="00B46641">
        <w:rPr>
          <w:rFonts w:ascii="Times New Roman" w:hAnsi="Times New Roman" w:cs="Times New Roman"/>
        </w:rPr>
        <w:t xml:space="preserve"> (CAX-06, grey circle), </w:t>
      </w:r>
      <w:proofErr w:type="spellStart"/>
      <w:r w:rsidRPr="00B46641">
        <w:rPr>
          <w:rFonts w:ascii="Times New Roman" w:hAnsi="Times New Roman" w:cs="Times New Roman"/>
        </w:rPr>
        <w:t>Kenia</w:t>
      </w:r>
      <w:proofErr w:type="spellEnd"/>
      <w:r w:rsidRPr="00B46641">
        <w:rPr>
          <w:rFonts w:ascii="Times New Roman" w:hAnsi="Times New Roman" w:cs="Times New Roman"/>
        </w:rPr>
        <w:t xml:space="preserve"> (KEN-01, grey triangle), </w:t>
      </w:r>
      <w:proofErr w:type="spellStart"/>
      <w:r w:rsidRPr="00B46641">
        <w:rPr>
          <w:rFonts w:ascii="Times New Roman" w:hAnsi="Times New Roman" w:cs="Times New Roman"/>
        </w:rPr>
        <w:t>Tambopata</w:t>
      </w:r>
      <w:proofErr w:type="spellEnd"/>
      <w:r w:rsidRPr="00B46641">
        <w:rPr>
          <w:rFonts w:ascii="Times New Roman" w:hAnsi="Times New Roman" w:cs="Times New Roman"/>
        </w:rPr>
        <w:t xml:space="preserve"> (TAM-05, grey diamond), and </w:t>
      </w:r>
      <w:proofErr w:type="spellStart"/>
      <w:r w:rsidRPr="00B46641">
        <w:rPr>
          <w:rFonts w:ascii="Times New Roman" w:hAnsi="Times New Roman" w:cs="Times New Roman"/>
        </w:rPr>
        <w:t>Tanguro</w:t>
      </w:r>
      <w:proofErr w:type="spellEnd"/>
      <w:r w:rsidRPr="00B46641">
        <w:rPr>
          <w:rFonts w:ascii="Times New Roman" w:hAnsi="Times New Roman" w:cs="Times New Roman"/>
        </w:rPr>
        <w:t xml:space="preserve"> (TAN-05, grey circle). Solar irradiance (W m</w:t>
      </w:r>
      <w:r w:rsidRPr="00B46641">
        <w:rPr>
          <w:rFonts w:ascii="Times New Roman" w:hAnsi="Times New Roman" w:cs="Times New Roman"/>
          <w:vertAlign w:val="superscript"/>
        </w:rPr>
        <w:t>-2</w:t>
      </w:r>
      <w:r w:rsidRPr="00B46641">
        <w:rPr>
          <w:rFonts w:ascii="Times New Roman" w:hAnsi="Times New Roman" w:cs="Times New Roman"/>
        </w:rPr>
        <w:t>), precipitation (mm mo</w:t>
      </w:r>
      <w:r w:rsidRPr="00B46641">
        <w:rPr>
          <w:rFonts w:ascii="Times New Roman" w:hAnsi="Times New Roman" w:cs="Times New Roman"/>
          <w:vertAlign w:val="superscript"/>
        </w:rPr>
        <w:t>-1</w:t>
      </w:r>
      <w:r w:rsidRPr="00B46641">
        <w:rPr>
          <w:rFonts w:ascii="Times New Roman" w:hAnsi="Times New Roman" w:cs="Times New Roman"/>
        </w:rPr>
        <w:t>), air temperature (ºC) and relative humidity (%) are presented on a monthly timescale, as a mean over three year</w:t>
      </w:r>
      <w:r w:rsidR="00581D7C">
        <w:rPr>
          <w:rFonts w:ascii="Times New Roman" w:hAnsi="Times New Roman" w:cs="Times New Roman"/>
        </w:rPr>
        <w:t>s (2009-2011)</w:t>
      </w:r>
    </w:p>
    <w:p w14:paraId="34C548C6" w14:textId="434C8E2F" w:rsidR="009A25CD" w:rsidRDefault="00567CF7" w:rsidP="00B46641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43834EA" wp14:editId="1EEE9A95">
            <wp:extent cx="8863734" cy="5249333"/>
            <wp:effectExtent l="0" t="0" r="1270" b="889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524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36320" w14:textId="77777777" w:rsidR="009A25CD" w:rsidRDefault="009A25CD" w:rsidP="00B46641">
      <w:pPr>
        <w:spacing w:line="480" w:lineRule="auto"/>
        <w:rPr>
          <w:rFonts w:ascii="Times New Roman" w:hAnsi="Times New Roman" w:cs="Times New Roman"/>
        </w:rPr>
        <w:sectPr w:rsidR="009A25CD" w:rsidSect="00744F93">
          <w:pgSz w:w="16840" w:h="11900" w:orient="landscape"/>
          <w:pgMar w:top="1800" w:right="1440" w:bottom="1800" w:left="1440" w:header="708" w:footer="708" w:gutter="0"/>
          <w:cols w:space="708"/>
          <w:docGrid w:linePitch="360"/>
        </w:sectPr>
      </w:pPr>
    </w:p>
    <w:p w14:paraId="060AD87C" w14:textId="78801D2C" w:rsidR="009A25CD" w:rsidRDefault="00B46641" w:rsidP="00B46641">
      <w:pPr>
        <w:spacing w:line="480" w:lineRule="auto"/>
        <w:rPr>
          <w:rFonts w:ascii="Times New Roman" w:hAnsi="Times New Roman" w:cs="Times New Roman"/>
        </w:rPr>
        <w:sectPr w:rsidR="009A25CD" w:rsidSect="00466DFB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 w:rsidRPr="00B46641">
        <w:rPr>
          <w:rFonts w:ascii="Times New Roman" w:hAnsi="Times New Roman" w:cs="Times New Roman"/>
          <w:b/>
        </w:rPr>
        <w:t>Figure S2.</w:t>
      </w:r>
      <w:r w:rsidRPr="00B46641">
        <w:rPr>
          <w:rFonts w:ascii="Times New Roman" w:hAnsi="Times New Roman" w:cs="Times New Roman"/>
        </w:rPr>
        <w:t xml:space="preserve"> Seasonality of net primary productivity components </w:t>
      </w:r>
      <w:proofErr w:type="gramStart"/>
      <w:r w:rsidRPr="00B46641">
        <w:rPr>
          <w:rFonts w:ascii="Times New Roman" w:hAnsi="Times New Roman" w:cs="Times New Roman"/>
        </w:rPr>
        <w:t>in nine lowland Amazonian forest</w:t>
      </w:r>
      <w:proofErr w:type="gramEnd"/>
      <w:r w:rsidRPr="00B46641">
        <w:rPr>
          <w:rFonts w:ascii="Times New Roman" w:hAnsi="Times New Roman" w:cs="Times New Roman"/>
        </w:rPr>
        <w:t xml:space="preserve"> plots in Peru, Bolivia and Brazil. Data are separated between dry sites (</w:t>
      </w:r>
      <w:r w:rsidRPr="00B46641">
        <w:rPr>
          <w:rFonts w:ascii="Times New Roman" w:eastAsia="Times New Roman" w:hAnsi="Times New Roman" w:cs="Times New Roman"/>
          <w:lang w:eastAsia="en-GB"/>
        </w:rPr>
        <w:t>KEN-02, KEN-01, TAN-05, and TAN-06</w:t>
      </w:r>
      <w:r w:rsidRPr="00B46641">
        <w:rPr>
          <w:rFonts w:ascii="Times New Roman" w:hAnsi="Times New Roman" w:cs="Times New Roman"/>
        </w:rPr>
        <w:t>) (a, c, e) and humid sites (</w:t>
      </w:r>
      <w:r w:rsidRPr="00B46641">
        <w:rPr>
          <w:rFonts w:ascii="Times New Roman" w:eastAsia="Times New Roman" w:hAnsi="Times New Roman" w:cs="Times New Roman"/>
          <w:lang w:eastAsia="en-GB"/>
        </w:rPr>
        <w:t>CAX-03, CAX-06, CAX-08, TAM-05, and TAM-06</w:t>
      </w:r>
      <w:r w:rsidRPr="00B46641">
        <w:rPr>
          <w:rFonts w:ascii="Times New Roman" w:hAnsi="Times New Roman" w:cs="Times New Roman"/>
        </w:rPr>
        <w:t>) (b, d, f). Net primary productivity of leaf (</w:t>
      </w:r>
      <w:proofErr w:type="spellStart"/>
      <w:r w:rsidRPr="00B46641">
        <w:rPr>
          <w:rFonts w:ascii="Times New Roman" w:hAnsi="Times New Roman" w:cs="Times New Roman"/>
          <w:i/>
        </w:rPr>
        <w:t>NPP</w:t>
      </w:r>
      <w:r w:rsidRPr="00B46641">
        <w:rPr>
          <w:rFonts w:ascii="Times New Roman" w:hAnsi="Times New Roman" w:cs="Times New Roman"/>
          <w:vertAlign w:val="subscript"/>
        </w:rPr>
        <w:t>Leaf</w:t>
      </w:r>
      <w:proofErr w:type="spellEnd"/>
      <w:r w:rsidRPr="00B46641">
        <w:rPr>
          <w:rFonts w:ascii="Times New Roman" w:hAnsi="Times New Roman" w:cs="Times New Roman"/>
        </w:rPr>
        <w:t xml:space="preserve">), </w:t>
      </w:r>
      <w:proofErr w:type="gramStart"/>
      <w:r w:rsidRPr="00B46641">
        <w:rPr>
          <w:rFonts w:ascii="Times New Roman" w:hAnsi="Times New Roman" w:cs="Times New Roman"/>
        </w:rPr>
        <w:t>above-ground</w:t>
      </w:r>
      <w:proofErr w:type="gramEnd"/>
      <w:r w:rsidRPr="00B46641">
        <w:rPr>
          <w:rFonts w:ascii="Times New Roman" w:hAnsi="Times New Roman" w:cs="Times New Roman"/>
        </w:rPr>
        <w:t xml:space="preserve"> coarse wood (</w:t>
      </w:r>
      <w:r w:rsidRPr="00B46641">
        <w:rPr>
          <w:rFonts w:ascii="Times New Roman" w:hAnsi="Times New Roman" w:cs="Times New Roman"/>
          <w:i/>
        </w:rPr>
        <w:t>NPP</w:t>
      </w:r>
      <w:r w:rsidRPr="00B46641">
        <w:rPr>
          <w:rFonts w:ascii="Times New Roman" w:hAnsi="Times New Roman" w:cs="Times New Roman"/>
          <w:vertAlign w:val="subscript"/>
        </w:rPr>
        <w:t>ACW</w:t>
      </w:r>
      <w:r w:rsidRPr="00B46641">
        <w:rPr>
          <w:rFonts w:ascii="Times New Roman" w:hAnsi="Times New Roman" w:cs="Times New Roman"/>
        </w:rPr>
        <w:t>) and fine roots (</w:t>
      </w:r>
      <w:proofErr w:type="spellStart"/>
      <w:r w:rsidRPr="00B46641">
        <w:rPr>
          <w:rFonts w:ascii="Times New Roman" w:hAnsi="Times New Roman" w:cs="Times New Roman"/>
          <w:i/>
        </w:rPr>
        <w:t>NPP</w:t>
      </w:r>
      <w:r w:rsidRPr="00B46641">
        <w:rPr>
          <w:rFonts w:ascii="Times New Roman" w:hAnsi="Times New Roman" w:cs="Times New Roman"/>
          <w:vertAlign w:val="subscript"/>
        </w:rPr>
        <w:t>Roots</w:t>
      </w:r>
      <w:proofErr w:type="spellEnd"/>
      <w:r w:rsidRPr="00B46641">
        <w:rPr>
          <w:rFonts w:ascii="Times New Roman" w:hAnsi="Times New Roman" w:cs="Times New Roman"/>
        </w:rPr>
        <w:t xml:space="preserve">) are presented for each plot on a monthly timescale, as a mean over three (2009-2011) or four (2009-2012, </w:t>
      </w:r>
      <w:proofErr w:type="spellStart"/>
      <w:r w:rsidRPr="00B46641">
        <w:rPr>
          <w:rFonts w:ascii="Times New Roman" w:hAnsi="Times New Roman" w:cs="Times New Roman"/>
        </w:rPr>
        <w:t>Tambopata</w:t>
      </w:r>
      <w:proofErr w:type="spellEnd"/>
      <w:r w:rsidRPr="00B46641">
        <w:rPr>
          <w:rFonts w:ascii="Times New Roman" w:hAnsi="Times New Roman" w:cs="Times New Roman"/>
        </w:rPr>
        <w:t xml:space="preserve">) years. </w:t>
      </w:r>
      <w:proofErr w:type="gramStart"/>
      <w:r w:rsidRPr="00B46641">
        <w:rPr>
          <w:rFonts w:ascii="Times New Roman" w:hAnsi="Times New Roman" w:cs="Times New Roman"/>
        </w:rPr>
        <w:t>The start and end of the dry season is represented by vertical grey lines</w:t>
      </w:r>
      <w:proofErr w:type="gramEnd"/>
      <w:r w:rsidRPr="00B46641">
        <w:rPr>
          <w:rFonts w:ascii="Times New Roman" w:hAnsi="Times New Roman" w:cs="Times New Roman"/>
        </w:rPr>
        <w:t xml:space="preserve">. Solid lines represent the average of four plots. </w:t>
      </w:r>
    </w:p>
    <w:p w14:paraId="18F8ED4E" w14:textId="31279325" w:rsidR="009A25CD" w:rsidRDefault="00567CF7" w:rsidP="00B46641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83F1A5D" wp14:editId="266931D5">
            <wp:extent cx="8864600" cy="5517617"/>
            <wp:effectExtent l="0" t="0" r="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551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56D8B" w14:textId="77777777" w:rsidR="009A25CD" w:rsidRDefault="009A25CD" w:rsidP="00B46641">
      <w:pPr>
        <w:spacing w:line="480" w:lineRule="auto"/>
        <w:rPr>
          <w:rFonts w:ascii="Times New Roman" w:hAnsi="Times New Roman" w:cs="Times New Roman"/>
        </w:rPr>
        <w:sectPr w:rsidR="009A25CD" w:rsidSect="00744F93">
          <w:pgSz w:w="16840" w:h="11900" w:orient="landscape"/>
          <w:pgMar w:top="1800" w:right="1440" w:bottom="1800" w:left="1440" w:header="708" w:footer="708" w:gutter="0"/>
          <w:cols w:space="708"/>
          <w:docGrid w:linePitch="360"/>
        </w:sectPr>
      </w:pPr>
    </w:p>
    <w:p w14:paraId="20B49A09" w14:textId="3A2BCCB5" w:rsidR="009A25CD" w:rsidRPr="00B46641" w:rsidRDefault="009A25CD" w:rsidP="00B46641">
      <w:pPr>
        <w:spacing w:line="480" w:lineRule="auto"/>
        <w:rPr>
          <w:rFonts w:ascii="Times New Roman" w:hAnsi="Times New Roman" w:cs="Times New Roman"/>
        </w:rPr>
      </w:pPr>
    </w:p>
    <w:p w14:paraId="7D31DF54" w14:textId="77777777" w:rsidR="00B46641" w:rsidRPr="00B46641" w:rsidRDefault="00B46641" w:rsidP="00B46641">
      <w:pPr>
        <w:spacing w:line="480" w:lineRule="auto"/>
        <w:rPr>
          <w:rFonts w:ascii="Times New Roman" w:hAnsi="Times New Roman" w:cs="Times New Roman"/>
        </w:rPr>
      </w:pPr>
      <w:r w:rsidRPr="00B46641">
        <w:rPr>
          <w:rFonts w:ascii="Times New Roman" w:hAnsi="Times New Roman" w:cs="Times New Roman"/>
          <w:b/>
        </w:rPr>
        <w:t>Figure S3.</w:t>
      </w:r>
      <w:r w:rsidRPr="00B46641">
        <w:rPr>
          <w:rFonts w:ascii="Times New Roman" w:hAnsi="Times New Roman" w:cs="Times New Roman"/>
        </w:rPr>
        <w:t xml:space="preserve"> Seasonality of canopy net primary productivity </w:t>
      </w:r>
      <w:proofErr w:type="gramStart"/>
      <w:r w:rsidRPr="00B46641">
        <w:rPr>
          <w:rFonts w:ascii="Times New Roman" w:hAnsi="Times New Roman" w:cs="Times New Roman"/>
        </w:rPr>
        <w:t>in seven lowland Amazonian forest</w:t>
      </w:r>
      <w:proofErr w:type="gramEnd"/>
      <w:r w:rsidRPr="00B46641">
        <w:rPr>
          <w:rFonts w:ascii="Times New Roman" w:hAnsi="Times New Roman" w:cs="Times New Roman"/>
        </w:rPr>
        <w:t xml:space="preserve"> plots in Peru, Bolivia and Brazil. Data are separated between dry sites (</w:t>
      </w:r>
      <w:r w:rsidRPr="00B46641">
        <w:rPr>
          <w:rFonts w:ascii="Times New Roman" w:eastAsia="Times New Roman" w:hAnsi="Times New Roman" w:cs="Times New Roman"/>
          <w:lang w:eastAsia="en-GB"/>
        </w:rPr>
        <w:t>KEN-02, KEN-01, TAN-05, and TAN-06</w:t>
      </w:r>
      <w:r w:rsidRPr="00B46641">
        <w:rPr>
          <w:rFonts w:ascii="Times New Roman" w:hAnsi="Times New Roman" w:cs="Times New Roman"/>
        </w:rPr>
        <w:t>) (a, c, e) and humid sites (</w:t>
      </w:r>
      <w:r w:rsidRPr="00B46641">
        <w:rPr>
          <w:rFonts w:ascii="Times New Roman" w:eastAsia="Times New Roman" w:hAnsi="Times New Roman" w:cs="Times New Roman"/>
          <w:lang w:eastAsia="en-GB"/>
        </w:rPr>
        <w:t>CAX-03, CAX-06, CAX-08, TAM-05, and TAM-06</w:t>
      </w:r>
      <w:r w:rsidRPr="00B46641">
        <w:rPr>
          <w:rFonts w:ascii="Times New Roman" w:hAnsi="Times New Roman" w:cs="Times New Roman"/>
        </w:rPr>
        <w:t>) (b, d, f). Net primary productivity of leaf (</w:t>
      </w:r>
      <w:proofErr w:type="spellStart"/>
      <w:r w:rsidRPr="00B46641">
        <w:rPr>
          <w:rFonts w:ascii="Times New Roman" w:hAnsi="Times New Roman" w:cs="Times New Roman"/>
          <w:i/>
        </w:rPr>
        <w:t>NPP</w:t>
      </w:r>
      <w:r w:rsidRPr="00B46641">
        <w:rPr>
          <w:rFonts w:ascii="Times New Roman" w:hAnsi="Times New Roman" w:cs="Times New Roman"/>
          <w:vertAlign w:val="subscript"/>
        </w:rPr>
        <w:t>Leaf</w:t>
      </w:r>
      <w:proofErr w:type="spellEnd"/>
      <w:r w:rsidRPr="00B46641">
        <w:rPr>
          <w:rFonts w:ascii="Times New Roman" w:hAnsi="Times New Roman" w:cs="Times New Roman"/>
        </w:rPr>
        <w:t>), flower (</w:t>
      </w:r>
      <w:proofErr w:type="spellStart"/>
      <w:r w:rsidRPr="00B46641">
        <w:rPr>
          <w:rFonts w:ascii="Times New Roman" w:hAnsi="Times New Roman" w:cs="Times New Roman"/>
          <w:i/>
        </w:rPr>
        <w:t>NPP</w:t>
      </w:r>
      <w:r w:rsidRPr="00B46641">
        <w:rPr>
          <w:rFonts w:ascii="Times New Roman" w:hAnsi="Times New Roman" w:cs="Times New Roman"/>
          <w:vertAlign w:val="subscript"/>
        </w:rPr>
        <w:t>Flower</w:t>
      </w:r>
      <w:proofErr w:type="spellEnd"/>
      <w:r w:rsidRPr="00B46641">
        <w:rPr>
          <w:rFonts w:ascii="Times New Roman" w:hAnsi="Times New Roman" w:cs="Times New Roman"/>
        </w:rPr>
        <w:t>) and fruit (</w:t>
      </w:r>
      <w:proofErr w:type="spellStart"/>
      <w:r w:rsidRPr="00B46641">
        <w:rPr>
          <w:rFonts w:ascii="Times New Roman" w:hAnsi="Times New Roman" w:cs="Times New Roman"/>
          <w:i/>
        </w:rPr>
        <w:t>NPP</w:t>
      </w:r>
      <w:r w:rsidRPr="00B46641">
        <w:rPr>
          <w:rFonts w:ascii="Times New Roman" w:hAnsi="Times New Roman" w:cs="Times New Roman"/>
          <w:vertAlign w:val="subscript"/>
        </w:rPr>
        <w:t>Fruit</w:t>
      </w:r>
      <w:proofErr w:type="spellEnd"/>
      <w:r w:rsidRPr="00B46641">
        <w:rPr>
          <w:rFonts w:ascii="Times New Roman" w:hAnsi="Times New Roman" w:cs="Times New Roman"/>
        </w:rPr>
        <w:t xml:space="preserve">) are presented for each plot on a monthly timescale, as a mean over three (2009-2011) or four (2009-2012, </w:t>
      </w:r>
      <w:proofErr w:type="spellStart"/>
      <w:r w:rsidRPr="00B46641">
        <w:rPr>
          <w:rFonts w:ascii="Times New Roman" w:hAnsi="Times New Roman" w:cs="Times New Roman"/>
        </w:rPr>
        <w:t>Tambopata</w:t>
      </w:r>
      <w:proofErr w:type="spellEnd"/>
      <w:r w:rsidRPr="00B46641">
        <w:rPr>
          <w:rFonts w:ascii="Times New Roman" w:hAnsi="Times New Roman" w:cs="Times New Roman"/>
        </w:rPr>
        <w:t xml:space="preserve">) years. Canopy components were not separated into leaves, flowers and fruit in </w:t>
      </w:r>
      <w:proofErr w:type="spellStart"/>
      <w:r w:rsidRPr="00B46641">
        <w:rPr>
          <w:rFonts w:ascii="Times New Roman" w:hAnsi="Times New Roman" w:cs="Times New Roman"/>
        </w:rPr>
        <w:t>Tanguro</w:t>
      </w:r>
      <w:proofErr w:type="spellEnd"/>
      <w:r w:rsidRPr="00B46641">
        <w:rPr>
          <w:rFonts w:ascii="Times New Roman" w:hAnsi="Times New Roman" w:cs="Times New Roman"/>
        </w:rPr>
        <w:t xml:space="preserve">. Solid lines represent the average of four plots. </w:t>
      </w:r>
    </w:p>
    <w:p w14:paraId="0CEDFE92" w14:textId="77777777" w:rsidR="009A25CD" w:rsidRDefault="009A25CD" w:rsidP="00B46641">
      <w:pPr>
        <w:spacing w:line="480" w:lineRule="auto"/>
        <w:sectPr w:rsidR="009A25CD" w:rsidSect="00466DFB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7D519358" w14:textId="7984F8E9" w:rsidR="00B46641" w:rsidRDefault="00567CF7" w:rsidP="00B46641">
      <w:pPr>
        <w:spacing w:line="480" w:lineRule="auto"/>
      </w:pPr>
      <w:r>
        <w:rPr>
          <w:noProof/>
        </w:rPr>
        <w:drawing>
          <wp:inline distT="0" distB="0" distL="0" distR="0" wp14:anchorId="4110964E" wp14:editId="133E4E62">
            <wp:extent cx="8864298" cy="5249333"/>
            <wp:effectExtent l="0" t="0" r="635" b="889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524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48722" w14:textId="77777777" w:rsidR="009A25CD" w:rsidRDefault="009A25CD" w:rsidP="00B46641">
      <w:pPr>
        <w:spacing w:line="480" w:lineRule="auto"/>
        <w:sectPr w:rsidR="009A25CD" w:rsidSect="00744F93">
          <w:pgSz w:w="16840" w:h="11900" w:orient="landscape"/>
          <w:pgMar w:top="1800" w:right="1440" w:bottom="1800" w:left="1440" w:header="708" w:footer="708" w:gutter="0"/>
          <w:cols w:space="708"/>
          <w:docGrid w:linePitch="360"/>
        </w:sectPr>
      </w:pPr>
    </w:p>
    <w:p w14:paraId="7915C893" w14:textId="53BCAAE2" w:rsidR="009A25CD" w:rsidRPr="00B46641" w:rsidRDefault="009A25CD" w:rsidP="00B46641">
      <w:pPr>
        <w:spacing w:line="480" w:lineRule="auto"/>
      </w:pPr>
    </w:p>
    <w:p w14:paraId="3D8EA4A9" w14:textId="77777777" w:rsidR="00B46641" w:rsidRPr="00B46641" w:rsidRDefault="00B46641" w:rsidP="00B46641">
      <w:pPr>
        <w:spacing w:line="480" w:lineRule="auto"/>
      </w:pPr>
      <w:r w:rsidRPr="00B46641">
        <w:rPr>
          <w:rFonts w:ascii="Times New Roman" w:hAnsi="Times New Roman" w:cs="Times New Roman"/>
          <w:b/>
        </w:rPr>
        <w:t>Figure S4.</w:t>
      </w:r>
      <w:r w:rsidRPr="00B46641">
        <w:rPr>
          <w:rFonts w:ascii="Times New Roman" w:hAnsi="Times New Roman" w:cs="Times New Roman"/>
        </w:rPr>
        <w:t xml:space="preserve"> Seasonality of net primary productivity allocation to canopy (</w:t>
      </w:r>
      <w:proofErr w:type="spellStart"/>
      <w:r w:rsidRPr="00B46641">
        <w:rPr>
          <w:rFonts w:ascii="Times New Roman" w:hAnsi="Times New Roman" w:cs="Times New Roman"/>
          <w:i/>
        </w:rPr>
        <w:t>NPP</w:t>
      </w:r>
      <w:r w:rsidRPr="00B46641">
        <w:rPr>
          <w:rFonts w:ascii="Times New Roman" w:hAnsi="Times New Roman" w:cs="Times New Roman"/>
          <w:vertAlign w:val="subscript"/>
        </w:rPr>
        <w:t>Canopy</w:t>
      </w:r>
      <w:proofErr w:type="spellEnd"/>
      <w:r w:rsidRPr="00B46641">
        <w:rPr>
          <w:rFonts w:ascii="Times New Roman" w:hAnsi="Times New Roman" w:cs="Times New Roman"/>
        </w:rPr>
        <w:t>), above-ground coarse wood (</w:t>
      </w:r>
      <w:r w:rsidRPr="00B46641">
        <w:rPr>
          <w:rFonts w:ascii="Times New Roman" w:hAnsi="Times New Roman" w:cs="Times New Roman"/>
          <w:i/>
        </w:rPr>
        <w:t>NPP</w:t>
      </w:r>
      <w:r w:rsidRPr="00B46641">
        <w:rPr>
          <w:rFonts w:ascii="Times New Roman" w:hAnsi="Times New Roman" w:cs="Times New Roman"/>
          <w:vertAlign w:val="subscript"/>
        </w:rPr>
        <w:t>ACW</w:t>
      </w:r>
      <w:r w:rsidRPr="00B46641">
        <w:rPr>
          <w:rFonts w:ascii="Times New Roman" w:hAnsi="Times New Roman" w:cs="Times New Roman"/>
        </w:rPr>
        <w:t>) and fine roots (</w:t>
      </w:r>
      <w:proofErr w:type="spellStart"/>
      <w:r w:rsidRPr="00B46641">
        <w:rPr>
          <w:rFonts w:ascii="Times New Roman" w:hAnsi="Times New Roman" w:cs="Times New Roman"/>
          <w:i/>
        </w:rPr>
        <w:t>NPP</w:t>
      </w:r>
      <w:r w:rsidRPr="00B46641">
        <w:rPr>
          <w:rFonts w:ascii="Times New Roman" w:hAnsi="Times New Roman" w:cs="Times New Roman"/>
          <w:vertAlign w:val="subscript"/>
        </w:rPr>
        <w:t>Roots</w:t>
      </w:r>
      <w:proofErr w:type="spellEnd"/>
      <w:r w:rsidRPr="00B46641">
        <w:rPr>
          <w:rFonts w:ascii="Times New Roman" w:hAnsi="Times New Roman" w:cs="Times New Roman"/>
        </w:rPr>
        <w:t>) in eight lowland Amazonian forest plots, Peru, Bolivia and Brazil. Data are separated between dry sites (</w:t>
      </w:r>
      <w:r w:rsidRPr="00B46641">
        <w:rPr>
          <w:rFonts w:ascii="Times New Roman" w:eastAsia="Times New Roman" w:hAnsi="Times New Roman" w:cs="Times New Roman"/>
          <w:lang w:eastAsia="en-GB"/>
        </w:rPr>
        <w:t>KEN-02, KEN-01, TAN-05, and TAN-06</w:t>
      </w:r>
      <w:r w:rsidRPr="00B46641">
        <w:rPr>
          <w:rFonts w:ascii="Times New Roman" w:hAnsi="Times New Roman" w:cs="Times New Roman"/>
        </w:rPr>
        <w:t xml:space="preserve">) (a, c, e) and humid sites (ALP-01, ALP-30, </w:t>
      </w:r>
      <w:r w:rsidRPr="00B46641">
        <w:rPr>
          <w:rFonts w:ascii="Times New Roman" w:eastAsia="Times New Roman" w:hAnsi="Times New Roman" w:cs="Times New Roman"/>
          <w:lang w:eastAsia="en-GB"/>
        </w:rPr>
        <w:t>CAX-03, CAX-06, CAX-08, TAM-05, and TAM-06</w:t>
      </w:r>
      <w:r w:rsidRPr="00B46641">
        <w:rPr>
          <w:rFonts w:ascii="Times New Roman" w:hAnsi="Times New Roman" w:cs="Times New Roman"/>
        </w:rPr>
        <w:t xml:space="preserve">) (b, d, f). Allocation data are presented as percentage of total </w:t>
      </w:r>
      <w:r w:rsidRPr="00B46641">
        <w:rPr>
          <w:rFonts w:ascii="Times New Roman" w:hAnsi="Times New Roman" w:cs="Times New Roman"/>
          <w:i/>
        </w:rPr>
        <w:t>NPP</w:t>
      </w:r>
      <w:r w:rsidRPr="00B46641">
        <w:rPr>
          <w:rFonts w:ascii="Times New Roman" w:hAnsi="Times New Roman" w:cs="Times New Roman"/>
        </w:rPr>
        <w:t xml:space="preserve"> allocated to each component each month, as a mean over three (2009-2011) or four (2009-2012, </w:t>
      </w:r>
      <w:proofErr w:type="spellStart"/>
      <w:r w:rsidRPr="00B46641">
        <w:rPr>
          <w:rFonts w:ascii="Times New Roman" w:hAnsi="Times New Roman" w:cs="Times New Roman"/>
        </w:rPr>
        <w:t>Tambopata</w:t>
      </w:r>
      <w:proofErr w:type="spellEnd"/>
      <w:r w:rsidRPr="00B46641">
        <w:rPr>
          <w:rFonts w:ascii="Times New Roman" w:hAnsi="Times New Roman" w:cs="Times New Roman"/>
        </w:rPr>
        <w:t>) years. Solid lines represent the average of four plots.</w:t>
      </w:r>
    </w:p>
    <w:p w14:paraId="130704DB" w14:textId="77777777" w:rsidR="009A25CD" w:rsidRDefault="009A25CD" w:rsidP="00B46641">
      <w:pPr>
        <w:spacing w:line="480" w:lineRule="auto"/>
        <w:ind w:right="-472"/>
        <w:rPr>
          <w:rFonts w:ascii="Times New Roman" w:hAnsi="Times New Roman" w:cs="Times New Roman"/>
        </w:rPr>
        <w:sectPr w:rsidR="009A25CD" w:rsidSect="00466DFB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1A3FDBF8" w14:textId="2E0F0BB8" w:rsidR="009A25CD" w:rsidRDefault="00715D77" w:rsidP="00B46641">
      <w:pPr>
        <w:spacing w:line="480" w:lineRule="auto"/>
        <w:ind w:right="-472"/>
        <w:rPr>
          <w:rFonts w:ascii="Times New Roman" w:hAnsi="Times New Roman" w:cs="Times New Roman"/>
        </w:rPr>
        <w:sectPr w:rsidR="009A25CD" w:rsidSect="00744F93">
          <w:pgSz w:w="16840" w:h="11900" w:orient="landscape"/>
          <w:pgMar w:top="1800" w:right="1440" w:bottom="1800" w:left="144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B26E748" wp14:editId="6725BEA1">
            <wp:extent cx="7886700" cy="5123074"/>
            <wp:effectExtent l="0" t="0" r="0" b="8255"/>
            <wp:docPr id="2" name="Picture 2" descr="Macintosh HD:Users:cecile:Dropbox:Screenshots:Screenshot 2015-08-24 13.02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ecile:Dropbox:Screenshots:Screenshot 2015-08-24 13.02.4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512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FE465" w14:textId="1D59D4A7" w:rsidR="009A25CD" w:rsidRPr="00B46641" w:rsidRDefault="009A25CD" w:rsidP="00B46641">
      <w:pPr>
        <w:spacing w:line="480" w:lineRule="auto"/>
        <w:ind w:right="-472"/>
        <w:rPr>
          <w:rFonts w:ascii="Times New Roman" w:hAnsi="Times New Roman" w:cs="Times New Roman"/>
        </w:rPr>
      </w:pPr>
    </w:p>
    <w:p w14:paraId="1FBE0E9D" w14:textId="77777777" w:rsidR="00B46641" w:rsidRPr="00B46641" w:rsidRDefault="00B46641" w:rsidP="00B46641">
      <w:pPr>
        <w:spacing w:line="480" w:lineRule="auto"/>
        <w:ind w:right="-472"/>
        <w:rPr>
          <w:rFonts w:ascii="Times New Roman" w:hAnsi="Times New Roman" w:cs="Times New Roman"/>
        </w:rPr>
      </w:pPr>
      <w:r w:rsidRPr="00B46641">
        <w:rPr>
          <w:rFonts w:ascii="Times New Roman" w:hAnsi="Times New Roman" w:cs="Times New Roman"/>
          <w:b/>
        </w:rPr>
        <w:t>Figure S5.</w:t>
      </w:r>
      <w:r w:rsidRPr="00B46641">
        <w:rPr>
          <w:rFonts w:ascii="Times New Roman" w:hAnsi="Times New Roman" w:cs="Times New Roman"/>
        </w:rPr>
        <w:t xml:space="preserve"> Ternary diagrams of seasonal allocation of net primary productivity to canopy (</w:t>
      </w:r>
      <w:proofErr w:type="spellStart"/>
      <w:r w:rsidRPr="00B46641">
        <w:rPr>
          <w:rFonts w:ascii="Times New Roman" w:hAnsi="Times New Roman" w:cs="Times New Roman"/>
          <w:i/>
        </w:rPr>
        <w:t>NPP</w:t>
      </w:r>
      <w:r w:rsidRPr="00B46641">
        <w:rPr>
          <w:rFonts w:ascii="Times New Roman" w:hAnsi="Times New Roman" w:cs="Times New Roman"/>
          <w:vertAlign w:val="subscript"/>
        </w:rPr>
        <w:t>Canopy</w:t>
      </w:r>
      <w:proofErr w:type="spellEnd"/>
      <w:r w:rsidRPr="00B46641">
        <w:rPr>
          <w:rFonts w:ascii="Times New Roman" w:hAnsi="Times New Roman" w:cs="Times New Roman"/>
        </w:rPr>
        <w:t>), above-ground coarse wood (</w:t>
      </w:r>
      <w:r w:rsidRPr="00B46641">
        <w:rPr>
          <w:rFonts w:ascii="Times New Roman" w:hAnsi="Times New Roman" w:cs="Times New Roman"/>
          <w:i/>
        </w:rPr>
        <w:t>NPP</w:t>
      </w:r>
      <w:r w:rsidRPr="00B46641">
        <w:rPr>
          <w:rFonts w:ascii="Times New Roman" w:hAnsi="Times New Roman" w:cs="Times New Roman"/>
          <w:vertAlign w:val="subscript"/>
        </w:rPr>
        <w:t>ACW</w:t>
      </w:r>
      <w:r w:rsidRPr="00B46641">
        <w:rPr>
          <w:rFonts w:ascii="Times New Roman" w:hAnsi="Times New Roman" w:cs="Times New Roman"/>
        </w:rPr>
        <w:t>) and fine roots (</w:t>
      </w:r>
      <w:proofErr w:type="spellStart"/>
      <w:r w:rsidRPr="00B46641">
        <w:rPr>
          <w:rFonts w:ascii="Times New Roman" w:hAnsi="Times New Roman" w:cs="Times New Roman"/>
          <w:i/>
        </w:rPr>
        <w:t>NPP</w:t>
      </w:r>
      <w:r w:rsidRPr="00B46641">
        <w:rPr>
          <w:rFonts w:ascii="Times New Roman" w:hAnsi="Times New Roman" w:cs="Times New Roman"/>
          <w:vertAlign w:val="subscript"/>
        </w:rPr>
        <w:t>Roots</w:t>
      </w:r>
      <w:proofErr w:type="spellEnd"/>
      <w:r w:rsidRPr="00B46641">
        <w:rPr>
          <w:rFonts w:ascii="Times New Roman" w:hAnsi="Times New Roman" w:cs="Times New Roman"/>
        </w:rPr>
        <w:t>) in seven lowland Amazonian forest plots, Peru, Bolivia and Brazil. Data are provided for dry sites (</w:t>
      </w:r>
      <w:r w:rsidRPr="00B46641">
        <w:rPr>
          <w:rFonts w:ascii="Times New Roman" w:eastAsia="Times New Roman" w:hAnsi="Times New Roman" w:cs="Times New Roman"/>
          <w:lang w:eastAsia="en-GB"/>
        </w:rPr>
        <w:t>KEN-02, KEN-01, TAN-05, and TAN-06</w:t>
      </w:r>
      <w:r w:rsidRPr="00B46641">
        <w:rPr>
          <w:rFonts w:ascii="Times New Roman" w:hAnsi="Times New Roman" w:cs="Times New Roman"/>
        </w:rPr>
        <w:t>), and humid sites (</w:t>
      </w:r>
      <w:r w:rsidRPr="00B46641">
        <w:rPr>
          <w:rFonts w:ascii="Times New Roman" w:eastAsia="Times New Roman" w:hAnsi="Times New Roman" w:cs="Times New Roman"/>
          <w:lang w:eastAsia="en-GB"/>
        </w:rPr>
        <w:t>CAX-03, CAX-06, CAX-08, TAM-05, and TAM-06</w:t>
      </w:r>
      <w:r w:rsidRPr="00B46641">
        <w:rPr>
          <w:rFonts w:ascii="Times New Roman" w:hAnsi="Times New Roman" w:cs="Times New Roman"/>
        </w:rPr>
        <w:t xml:space="preserve">). Each point represents the percentage of total </w:t>
      </w:r>
      <w:r w:rsidRPr="00B46641">
        <w:rPr>
          <w:rFonts w:ascii="Times New Roman" w:hAnsi="Times New Roman" w:cs="Times New Roman"/>
          <w:i/>
        </w:rPr>
        <w:t>NPP</w:t>
      </w:r>
      <w:r w:rsidRPr="00B46641">
        <w:rPr>
          <w:rFonts w:ascii="Times New Roman" w:hAnsi="Times New Roman" w:cs="Times New Roman"/>
        </w:rPr>
        <w:t xml:space="preserve"> allocated to each component each month, as a mean over three (2009-2011) or four (2009-2012, </w:t>
      </w:r>
      <w:proofErr w:type="spellStart"/>
      <w:r w:rsidRPr="00B46641">
        <w:rPr>
          <w:rFonts w:ascii="Times New Roman" w:hAnsi="Times New Roman" w:cs="Times New Roman"/>
        </w:rPr>
        <w:t>Tambopata</w:t>
      </w:r>
      <w:proofErr w:type="spellEnd"/>
      <w:r w:rsidRPr="00B46641">
        <w:rPr>
          <w:rFonts w:ascii="Times New Roman" w:hAnsi="Times New Roman" w:cs="Times New Roman"/>
        </w:rPr>
        <w:t xml:space="preserve">) years.  We did not have sufficient seasonal data from </w:t>
      </w:r>
      <w:proofErr w:type="spellStart"/>
      <w:proofErr w:type="gramStart"/>
      <w:r w:rsidRPr="00B46641">
        <w:rPr>
          <w:rFonts w:ascii="Times New Roman" w:hAnsi="Times New Roman" w:cs="Times New Roman"/>
        </w:rPr>
        <w:t>Allpahuayo</w:t>
      </w:r>
      <w:proofErr w:type="spellEnd"/>
      <w:r w:rsidRPr="00B46641">
        <w:rPr>
          <w:rFonts w:ascii="Times New Roman" w:hAnsi="Times New Roman" w:cs="Times New Roman"/>
        </w:rPr>
        <w:t xml:space="preserve">  to</w:t>
      </w:r>
      <w:proofErr w:type="gramEnd"/>
      <w:r w:rsidRPr="00B46641">
        <w:rPr>
          <w:rFonts w:ascii="Times New Roman" w:hAnsi="Times New Roman" w:cs="Times New Roman"/>
        </w:rPr>
        <w:t xml:space="preserve"> carry out this analysis. </w:t>
      </w:r>
      <w:proofErr w:type="gramStart"/>
      <w:r w:rsidRPr="00B46641">
        <w:rPr>
          <w:rFonts w:ascii="Times New Roman" w:hAnsi="Times New Roman" w:cs="Times New Roman"/>
        </w:rPr>
        <w:t>Circles represent dry season months</w:t>
      </w:r>
      <w:proofErr w:type="gramEnd"/>
      <w:r w:rsidRPr="00B46641">
        <w:rPr>
          <w:rFonts w:ascii="Times New Roman" w:hAnsi="Times New Roman" w:cs="Times New Roman"/>
        </w:rPr>
        <w:t xml:space="preserve"> (May to September), </w:t>
      </w:r>
      <w:proofErr w:type="gramStart"/>
      <w:r w:rsidRPr="00B46641">
        <w:rPr>
          <w:rFonts w:ascii="Times New Roman" w:hAnsi="Times New Roman" w:cs="Times New Roman"/>
        </w:rPr>
        <w:t>triangles represent wet season months</w:t>
      </w:r>
      <w:proofErr w:type="gramEnd"/>
      <w:r w:rsidRPr="00B46641">
        <w:rPr>
          <w:rFonts w:ascii="Times New Roman" w:hAnsi="Times New Roman" w:cs="Times New Roman"/>
        </w:rPr>
        <w:t xml:space="preserve">. </w:t>
      </w:r>
    </w:p>
    <w:p w14:paraId="2FA2E554" w14:textId="77777777" w:rsidR="00B46641" w:rsidRPr="00B46641" w:rsidRDefault="00B46641" w:rsidP="00B46641">
      <w:pPr>
        <w:spacing w:line="480" w:lineRule="auto"/>
      </w:pPr>
    </w:p>
    <w:sectPr w:rsidR="00B46641" w:rsidRPr="00B46641" w:rsidSect="00072BE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NarrowM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DF1"/>
    <w:rsid w:val="00072BE4"/>
    <w:rsid w:val="001E3952"/>
    <w:rsid w:val="00392F8A"/>
    <w:rsid w:val="003F257A"/>
    <w:rsid w:val="00466DFB"/>
    <w:rsid w:val="00567CF7"/>
    <w:rsid w:val="00581D7C"/>
    <w:rsid w:val="005F7A58"/>
    <w:rsid w:val="00670DF1"/>
    <w:rsid w:val="00715D77"/>
    <w:rsid w:val="00744F93"/>
    <w:rsid w:val="007832B7"/>
    <w:rsid w:val="00955946"/>
    <w:rsid w:val="00980168"/>
    <w:rsid w:val="009A25CD"/>
    <w:rsid w:val="00B46641"/>
    <w:rsid w:val="00CB483D"/>
    <w:rsid w:val="00DF3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7CD3B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-copy-normal">
    <w:name w:val="body-copy-normal"/>
    <w:basedOn w:val="Normal"/>
    <w:rsid w:val="0095594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body-copy-bold">
    <w:name w:val="body-copy-bold"/>
    <w:basedOn w:val="DefaultParagraphFont"/>
    <w:rsid w:val="00955946"/>
  </w:style>
  <w:style w:type="paragraph" w:styleId="BalloonText">
    <w:name w:val="Balloon Text"/>
    <w:basedOn w:val="Normal"/>
    <w:link w:val="BalloonTextChar"/>
    <w:uiPriority w:val="99"/>
    <w:semiHidden/>
    <w:unhideWhenUsed/>
    <w:rsid w:val="00715D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D7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-copy-normal">
    <w:name w:val="body-copy-normal"/>
    <w:basedOn w:val="Normal"/>
    <w:rsid w:val="0095594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body-copy-bold">
    <w:name w:val="body-copy-bold"/>
    <w:basedOn w:val="DefaultParagraphFont"/>
    <w:rsid w:val="00955946"/>
  </w:style>
  <w:style w:type="paragraph" w:styleId="BalloonText">
    <w:name w:val="Balloon Text"/>
    <w:basedOn w:val="Normal"/>
    <w:link w:val="BalloonTextChar"/>
    <w:uiPriority w:val="99"/>
    <w:semiHidden/>
    <w:unhideWhenUsed/>
    <w:rsid w:val="00715D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D7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8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665</Words>
  <Characters>3791</Characters>
  <Application>Microsoft Macintosh Word</Application>
  <DocSecurity>0</DocSecurity>
  <Lines>31</Lines>
  <Paragraphs>8</Paragraphs>
  <ScaleCrop>false</ScaleCrop>
  <Company/>
  <LinksUpToDate>false</LinksUpToDate>
  <CharactersWithSpaces>4448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Cecile</dc:creator>
  <cp:keywords/>
  <dc:description/>
  <cp:lastModifiedBy>Cecile</cp:lastModifiedBy>
  <cp:revision>2</cp:revision>
  <cp:lastPrinted>2015-08-24T14:05:00Z</cp:lastPrinted>
  <dcterms:created xsi:type="dcterms:W3CDTF">2016-03-18T10:02:00Z</dcterms:created>
  <dcterms:modified xsi:type="dcterms:W3CDTF">2016-03-18T10:02:00Z</dcterms:modified>
</cp:coreProperties>
</file>